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68" w:rsidRPr="005F4779" w:rsidRDefault="00EA5AF0" w:rsidP="00EA5A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4779">
        <w:rPr>
          <w:rFonts w:ascii="Times New Roman" w:hAnsi="Times New Roman" w:cs="Times New Roman"/>
          <w:b/>
          <w:sz w:val="26"/>
          <w:szCs w:val="26"/>
        </w:rPr>
        <w:t xml:space="preserve">Wymagania edukacyjne z edukacji dla bezpieczeństwa </w:t>
      </w:r>
      <w:r w:rsidR="005F4779" w:rsidRPr="005F4779">
        <w:rPr>
          <w:rFonts w:ascii="Times New Roman" w:hAnsi="Times New Roman" w:cs="Times New Roman"/>
          <w:b/>
          <w:sz w:val="26"/>
          <w:szCs w:val="26"/>
        </w:rPr>
        <w:t>w klasie VIII</w:t>
      </w:r>
    </w:p>
    <w:p w:rsidR="00DF06F0" w:rsidRPr="001759C3" w:rsidRDefault="00DF06F0" w:rsidP="00EA5AF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1276"/>
        <w:gridCol w:w="1560"/>
        <w:gridCol w:w="1842"/>
        <w:gridCol w:w="1843"/>
        <w:gridCol w:w="1985"/>
        <w:gridCol w:w="1559"/>
        <w:gridCol w:w="1559"/>
      </w:tblGrid>
      <w:tr w:rsidR="00DB5F55" w:rsidRPr="001759C3" w:rsidTr="00DB5F55">
        <w:tc>
          <w:tcPr>
            <w:tcW w:w="1276" w:type="dxa"/>
          </w:tcPr>
          <w:p w:rsidR="00EA5AF0" w:rsidRPr="001759C3" w:rsidRDefault="00EA5AF0" w:rsidP="00526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Rozdział</w:t>
            </w:r>
          </w:p>
        </w:tc>
        <w:tc>
          <w:tcPr>
            <w:tcW w:w="1560" w:type="dxa"/>
          </w:tcPr>
          <w:p w:rsidR="00EA5AF0" w:rsidRPr="001759C3" w:rsidRDefault="00EA5AF0" w:rsidP="00526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Temat</w:t>
            </w:r>
            <w:r w:rsidR="005C0377"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1842" w:type="dxa"/>
          </w:tcPr>
          <w:p w:rsidR="00EA5AF0" w:rsidRPr="001759C3" w:rsidRDefault="00EA5AF0" w:rsidP="00526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Ocena dopuszczająca</w:t>
            </w:r>
          </w:p>
        </w:tc>
        <w:tc>
          <w:tcPr>
            <w:tcW w:w="1843" w:type="dxa"/>
          </w:tcPr>
          <w:p w:rsidR="00EA5AF0" w:rsidRPr="001759C3" w:rsidRDefault="00EA5AF0" w:rsidP="00526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Ocena dostateczna</w:t>
            </w:r>
          </w:p>
        </w:tc>
        <w:tc>
          <w:tcPr>
            <w:tcW w:w="1985" w:type="dxa"/>
          </w:tcPr>
          <w:p w:rsidR="00EA5AF0" w:rsidRPr="001759C3" w:rsidRDefault="00EA5AF0" w:rsidP="00526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Ocena dobra</w:t>
            </w:r>
          </w:p>
        </w:tc>
        <w:tc>
          <w:tcPr>
            <w:tcW w:w="1559" w:type="dxa"/>
          </w:tcPr>
          <w:p w:rsidR="00EA5AF0" w:rsidRPr="001759C3" w:rsidRDefault="00EA5AF0" w:rsidP="00526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Ocena bardzo dobra</w:t>
            </w:r>
          </w:p>
        </w:tc>
        <w:tc>
          <w:tcPr>
            <w:tcW w:w="1559" w:type="dxa"/>
          </w:tcPr>
          <w:p w:rsidR="00EA5AF0" w:rsidRPr="001759C3" w:rsidRDefault="00EA5AF0" w:rsidP="00526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Ocena celująca</w:t>
            </w:r>
          </w:p>
        </w:tc>
      </w:tr>
      <w:tr w:rsidR="00DB5F55" w:rsidRPr="003A1402" w:rsidTr="001759C3">
        <w:trPr>
          <w:trHeight w:val="1130"/>
        </w:trPr>
        <w:tc>
          <w:tcPr>
            <w:tcW w:w="1276" w:type="dxa"/>
            <w:vMerge w:val="restart"/>
            <w:textDirection w:val="btLr"/>
            <w:vAlign w:val="center"/>
          </w:tcPr>
          <w:p w:rsidR="00DB5F55" w:rsidRPr="001759C3" w:rsidRDefault="00DB5F55" w:rsidP="001759C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377" w:rsidRPr="001759C3" w:rsidRDefault="00526FD7" w:rsidP="001759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Bezpieczeństwo </w:t>
            </w:r>
            <w:r w:rsidR="005C0377"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państwa</w:t>
            </w:r>
          </w:p>
        </w:tc>
        <w:tc>
          <w:tcPr>
            <w:tcW w:w="1560" w:type="dxa"/>
            <w:vAlign w:val="center"/>
          </w:tcPr>
          <w:p w:rsidR="005C0377" w:rsidRPr="001759C3" w:rsidRDefault="005C0377" w:rsidP="0017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Bezpieczny obywatel, bezpieczny naród, bezpieczne państwo</w:t>
            </w:r>
          </w:p>
        </w:tc>
        <w:tc>
          <w:tcPr>
            <w:tcW w:w="1842" w:type="dxa"/>
          </w:tcPr>
          <w:p w:rsidR="005C0377" w:rsidRPr="001759C3" w:rsidRDefault="00526FD7" w:rsidP="006E0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 uczeń definiuje bezpieczeństwo</w:t>
            </w:r>
          </w:p>
        </w:tc>
        <w:tc>
          <w:tcPr>
            <w:tcW w:w="1843" w:type="dxa"/>
          </w:tcPr>
          <w:p w:rsidR="005C0377" w:rsidRPr="001759C3" w:rsidRDefault="00526FD7" w:rsidP="006E0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uczeń wymienia rodzaje bezpieczeństwa</w:t>
            </w:r>
          </w:p>
        </w:tc>
        <w:tc>
          <w:tcPr>
            <w:tcW w:w="1985" w:type="dxa"/>
          </w:tcPr>
          <w:p w:rsidR="005C0377" w:rsidRPr="001759C3" w:rsidRDefault="00526FD7" w:rsidP="006E0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uczeń wymienia rodzaje i dziedziny bezpieczeństwa</w:t>
            </w:r>
          </w:p>
          <w:p w:rsidR="006E0760" w:rsidRPr="001759C3" w:rsidRDefault="006E0760" w:rsidP="006E0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wymienia podmioty odpowiadające za bezpieczeństwo kraju i jego obywateli i ich funkcje</w:t>
            </w:r>
          </w:p>
        </w:tc>
        <w:tc>
          <w:tcPr>
            <w:tcW w:w="1559" w:type="dxa"/>
          </w:tcPr>
          <w:p w:rsidR="005C0377" w:rsidRPr="001759C3" w:rsidRDefault="006E0760" w:rsidP="006E0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definiuje pojęcia ochrony i obrony narodowej oraz wskazuje różnice pomiędzy tymi zagadnieniami</w:t>
            </w:r>
          </w:p>
        </w:tc>
        <w:tc>
          <w:tcPr>
            <w:tcW w:w="1559" w:type="dxa"/>
          </w:tcPr>
          <w:p w:rsidR="005C0377" w:rsidRPr="001759C3" w:rsidRDefault="005C0377" w:rsidP="006E0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F55" w:rsidRPr="003A1402" w:rsidTr="001759C3">
        <w:trPr>
          <w:trHeight w:val="525"/>
        </w:trPr>
        <w:tc>
          <w:tcPr>
            <w:tcW w:w="1276" w:type="dxa"/>
            <w:vMerge/>
          </w:tcPr>
          <w:p w:rsidR="005C0377" w:rsidRPr="001759C3" w:rsidRDefault="005C0377" w:rsidP="00EA5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C0377" w:rsidRPr="001759C3" w:rsidRDefault="00526FD7" w:rsidP="0017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Bezpieczeństwo polski w stosunkach międzynarodowych</w:t>
            </w:r>
          </w:p>
        </w:tc>
        <w:tc>
          <w:tcPr>
            <w:tcW w:w="1842" w:type="dxa"/>
          </w:tcPr>
          <w:p w:rsidR="005C0377" w:rsidRPr="001759C3" w:rsidRDefault="00606226" w:rsidP="006062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wymienia wybrane zagrożenia dla bezpieczeństwa we współczesnym świecie</w:t>
            </w:r>
          </w:p>
        </w:tc>
        <w:tc>
          <w:tcPr>
            <w:tcW w:w="1843" w:type="dxa"/>
          </w:tcPr>
          <w:p w:rsidR="005C0377" w:rsidRPr="001759C3" w:rsidRDefault="00606226" w:rsidP="006062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opisuje geopolityczne położenie Polski</w:t>
            </w:r>
          </w:p>
        </w:tc>
        <w:tc>
          <w:tcPr>
            <w:tcW w:w="1985" w:type="dxa"/>
          </w:tcPr>
          <w:p w:rsidR="005C0377" w:rsidRPr="001759C3" w:rsidRDefault="00606226" w:rsidP="006062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omawia wybrane aspekty tego położenia dla bezpieczeństwa narodowego</w:t>
            </w:r>
          </w:p>
        </w:tc>
        <w:tc>
          <w:tcPr>
            <w:tcW w:w="1559" w:type="dxa"/>
          </w:tcPr>
          <w:p w:rsidR="005C0377" w:rsidRPr="001759C3" w:rsidRDefault="00606226" w:rsidP="006062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opisuje rolę organizacji międzynarodowych w zapewnieniu bezpieczeństwa Polski</w:t>
            </w:r>
          </w:p>
          <w:p w:rsidR="00606226" w:rsidRPr="001759C3" w:rsidRDefault="00606226" w:rsidP="006062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omawia historyczną ewolucję modelu bezpieczeństwa Polski</w:t>
            </w:r>
          </w:p>
        </w:tc>
        <w:tc>
          <w:tcPr>
            <w:tcW w:w="1559" w:type="dxa"/>
          </w:tcPr>
          <w:p w:rsidR="005C0377" w:rsidRPr="001759C3" w:rsidRDefault="00606226" w:rsidP="006062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omawia historyczną ewolucję modelu bezpieczeństwa Polski</w:t>
            </w:r>
          </w:p>
        </w:tc>
      </w:tr>
      <w:tr w:rsidR="00DB5F55" w:rsidRPr="003A1402" w:rsidTr="001759C3">
        <w:trPr>
          <w:trHeight w:val="56"/>
        </w:trPr>
        <w:tc>
          <w:tcPr>
            <w:tcW w:w="1276" w:type="dxa"/>
            <w:vMerge w:val="restart"/>
            <w:textDirection w:val="btLr"/>
            <w:vAlign w:val="center"/>
          </w:tcPr>
          <w:p w:rsidR="00DB5F55" w:rsidRPr="001759C3" w:rsidRDefault="00DB5F55" w:rsidP="001759C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5F55" w:rsidRPr="001759C3" w:rsidRDefault="00DB5F55" w:rsidP="001759C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77D2" w:rsidRPr="001759C3" w:rsidRDefault="006577D2" w:rsidP="001759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Postępowanie w sytuacjach zagrożeń</w:t>
            </w:r>
          </w:p>
        </w:tc>
        <w:tc>
          <w:tcPr>
            <w:tcW w:w="1560" w:type="dxa"/>
            <w:vAlign w:val="center"/>
          </w:tcPr>
          <w:p w:rsidR="006577D2" w:rsidRPr="001759C3" w:rsidRDefault="006577D2" w:rsidP="0017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Źródła zagrożeń</w:t>
            </w:r>
          </w:p>
        </w:tc>
        <w:tc>
          <w:tcPr>
            <w:tcW w:w="1842" w:type="dxa"/>
          </w:tcPr>
          <w:p w:rsidR="006577D2" w:rsidRPr="001759C3" w:rsidRDefault="00362082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wymienia rodzaje zagrożeń</w:t>
            </w:r>
          </w:p>
          <w:p w:rsidR="00362082" w:rsidRPr="001759C3" w:rsidRDefault="00362082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wymienia numery alarmowe w Polsce i przypisuje je odpowiednim służbą</w:t>
            </w:r>
          </w:p>
        </w:tc>
        <w:tc>
          <w:tcPr>
            <w:tcW w:w="1843" w:type="dxa"/>
          </w:tcPr>
          <w:p w:rsidR="006577D2" w:rsidRPr="001759C3" w:rsidRDefault="00362082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wymienia przykłady nadzwyczajnych zagrożeń i opisuje jedno wybrane </w:t>
            </w:r>
          </w:p>
        </w:tc>
        <w:tc>
          <w:tcPr>
            <w:tcW w:w="1985" w:type="dxa"/>
          </w:tcPr>
          <w:p w:rsidR="006577D2" w:rsidRPr="001759C3" w:rsidRDefault="00362082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dokonuje podziału zagrożeń ze względu na źródło ich pochodzenia </w:t>
            </w:r>
          </w:p>
        </w:tc>
        <w:tc>
          <w:tcPr>
            <w:tcW w:w="1559" w:type="dxa"/>
          </w:tcPr>
          <w:p w:rsidR="006577D2" w:rsidRPr="001759C3" w:rsidRDefault="00362082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poszczególnym podmiotom ratowniczym przypisuje poszczególne zadania</w:t>
            </w:r>
          </w:p>
        </w:tc>
        <w:tc>
          <w:tcPr>
            <w:tcW w:w="1559" w:type="dxa"/>
          </w:tcPr>
          <w:p w:rsidR="006577D2" w:rsidRPr="001759C3" w:rsidRDefault="006577D2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F55" w:rsidRPr="003A1402" w:rsidTr="001759C3">
        <w:trPr>
          <w:trHeight w:val="52"/>
        </w:trPr>
        <w:tc>
          <w:tcPr>
            <w:tcW w:w="1276" w:type="dxa"/>
            <w:vMerge/>
          </w:tcPr>
          <w:p w:rsidR="006577D2" w:rsidRPr="001759C3" w:rsidRDefault="006577D2" w:rsidP="00EA5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577D2" w:rsidRPr="001759C3" w:rsidRDefault="006577D2" w:rsidP="0017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Ostrzeganie o zagrożeniach i alarmowanie</w:t>
            </w:r>
          </w:p>
        </w:tc>
        <w:tc>
          <w:tcPr>
            <w:tcW w:w="1842" w:type="dxa"/>
          </w:tcPr>
          <w:p w:rsidR="006577D2" w:rsidRPr="001759C3" w:rsidRDefault="00362082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wymienia rodzaje komunikatów ostrzegawczych</w:t>
            </w:r>
          </w:p>
          <w:p w:rsidR="00362082" w:rsidRPr="001759C3" w:rsidRDefault="00362082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wymienia sposoby przeciwdziałania panice</w:t>
            </w:r>
          </w:p>
        </w:tc>
        <w:tc>
          <w:tcPr>
            <w:tcW w:w="1843" w:type="dxa"/>
          </w:tcPr>
          <w:p w:rsidR="006577D2" w:rsidRPr="001759C3" w:rsidRDefault="00362082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3A1402" w:rsidRPr="001759C3">
              <w:rPr>
                <w:rFonts w:ascii="Times New Roman" w:hAnsi="Times New Roman" w:cs="Times New Roman"/>
                <w:sz w:val="18"/>
                <w:szCs w:val="18"/>
              </w:rPr>
              <w:t>rozróżnia sygnały alarmowe</w:t>
            </w:r>
          </w:p>
        </w:tc>
        <w:tc>
          <w:tcPr>
            <w:tcW w:w="1985" w:type="dxa"/>
          </w:tcPr>
          <w:p w:rsidR="006577D2" w:rsidRPr="001759C3" w:rsidRDefault="003A1402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omawia sposób ogłaszano i odwołano alarmów</w:t>
            </w:r>
          </w:p>
          <w:p w:rsidR="003A1402" w:rsidRPr="001759C3" w:rsidRDefault="003A1402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opisuje sposób zachowania się ludności po ogłoszeniu alarmu lub wydaniu komunikatu ostrzegawczego</w:t>
            </w:r>
          </w:p>
        </w:tc>
        <w:tc>
          <w:tcPr>
            <w:tcW w:w="1559" w:type="dxa"/>
          </w:tcPr>
          <w:p w:rsidR="006577D2" w:rsidRPr="001759C3" w:rsidRDefault="00362082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charakteryzuje działania i zadania systemu wykrywania skażeń i alarmowania</w:t>
            </w:r>
          </w:p>
        </w:tc>
        <w:tc>
          <w:tcPr>
            <w:tcW w:w="1559" w:type="dxa"/>
          </w:tcPr>
          <w:p w:rsidR="006577D2" w:rsidRPr="001759C3" w:rsidRDefault="006577D2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F55" w:rsidRPr="003A1402" w:rsidTr="001759C3">
        <w:trPr>
          <w:trHeight w:val="52"/>
        </w:trPr>
        <w:tc>
          <w:tcPr>
            <w:tcW w:w="1276" w:type="dxa"/>
            <w:vMerge/>
          </w:tcPr>
          <w:p w:rsidR="006577D2" w:rsidRPr="001759C3" w:rsidRDefault="006577D2" w:rsidP="00EA5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577D2" w:rsidRPr="001759C3" w:rsidRDefault="006577D2" w:rsidP="0017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Ewakuacja</w:t>
            </w:r>
          </w:p>
        </w:tc>
        <w:tc>
          <w:tcPr>
            <w:tcW w:w="1842" w:type="dxa"/>
          </w:tcPr>
          <w:p w:rsidR="006577D2" w:rsidRPr="001759C3" w:rsidRDefault="003A1402" w:rsidP="003A1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wyjaśnia termin „ewakuacja” </w:t>
            </w:r>
          </w:p>
        </w:tc>
        <w:tc>
          <w:tcPr>
            <w:tcW w:w="1843" w:type="dxa"/>
          </w:tcPr>
          <w:p w:rsidR="006577D2" w:rsidRPr="001759C3" w:rsidRDefault="003A1402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rozpoznaje znaki ewakuacyjne i informacyjne </w:t>
            </w:r>
          </w:p>
        </w:tc>
        <w:tc>
          <w:tcPr>
            <w:tcW w:w="1985" w:type="dxa"/>
          </w:tcPr>
          <w:p w:rsidR="006577D2" w:rsidRPr="001759C3" w:rsidRDefault="003A1402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opisuje sposób zachowania się podczas ewakuacji </w:t>
            </w:r>
          </w:p>
        </w:tc>
        <w:tc>
          <w:tcPr>
            <w:tcW w:w="1559" w:type="dxa"/>
          </w:tcPr>
          <w:p w:rsidR="006577D2" w:rsidRPr="001759C3" w:rsidRDefault="003A1402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opisuje sposób zaopatrywania w wodę i żywność podczas ewakuacji</w:t>
            </w:r>
          </w:p>
          <w:p w:rsidR="003A1402" w:rsidRPr="001759C3" w:rsidRDefault="003A1402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rozróżnia rodzaje i stopnie ewakuacji </w:t>
            </w:r>
          </w:p>
        </w:tc>
        <w:tc>
          <w:tcPr>
            <w:tcW w:w="1559" w:type="dxa"/>
          </w:tcPr>
          <w:p w:rsidR="006577D2" w:rsidRPr="001759C3" w:rsidRDefault="003A1402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uzasadnia znaczenie przeciwdziałania panice i podporządkowania się poleceniom służb ratowniczych </w:t>
            </w:r>
          </w:p>
        </w:tc>
      </w:tr>
      <w:tr w:rsidR="00DB5F55" w:rsidRPr="003A1402" w:rsidTr="001759C3">
        <w:trPr>
          <w:trHeight w:val="52"/>
        </w:trPr>
        <w:tc>
          <w:tcPr>
            <w:tcW w:w="1276" w:type="dxa"/>
            <w:vMerge/>
          </w:tcPr>
          <w:p w:rsidR="006577D2" w:rsidRPr="001759C3" w:rsidRDefault="006577D2" w:rsidP="00EA5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577D2" w:rsidRPr="001759C3" w:rsidRDefault="006577D2" w:rsidP="0017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Zagrożenia pożarowe</w:t>
            </w:r>
          </w:p>
        </w:tc>
        <w:tc>
          <w:tcPr>
            <w:tcW w:w="1842" w:type="dxa"/>
          </w:tcPr>
          <w:p w:rsidR="006577D2" w:rsidRPr="001759C3" w:rsidRDefault="003A1402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wymienia główne przyczyny pożarów</w:t>
            </w:r>
          </w:p>
          <w:p w:rsidR="000F2484" w:rsidRPr="001759C3" w:rsidRDefault="000F2484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rozpoznaje znaki ochrony przeciwpożarowej</w:t>
            </w:r>
          </w:p>
        </w:tc>
        <w:tc>
          <w:tcPr>
            <w:tcW w:w="1843" w:type="dxa"/>
          </w:tcPr>
          <w:p w:rsidR="006577D2" w:rsidRPr="001759C3" w:rsidRDefault="003A1402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opisuje zasady postępowania po dostrzeżeniu pożaru</w:t>
            </w:r>
          </w:p>
        </w:tc>
        <w:tc>
          <w:tcPr>
            <w:tcW w:w="1985" w:type="dxa"/>
          </w:tcPr>
          <w:p w:rsidR="006577D2" w:rsidRPr="001759C3" w:rsidRDefault="003A1402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omawia przeznaczenie podręcznego sprzętu </w:t>
            </w:r>
            <w:r w:rsidR="000F2484"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gaśniczego </w:t>
            </w:r>
          </w:p>
        </w:tc>
        <w:tc>
          <w:tcPr>
            <w:tcW w:w="1559" w:type="dxa"/>
          </w:tcPr>
          <w:p w:rsidR="006577D2" w:rsidRPr="001759C3" w:rsidRDefault="000F2484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wyjaśnia, jak gasić zarzewie ognia i odzież </w:t>
            </w:r>
          </w:p>
        </w:tc>
        <w:tc>
          <w:tcPr>
            <w:tcW w:w="1559" w:type="dxa"/>
          </w:tcPr>
          <w:p w:rsidR="006577D2" w:rsidRPr="001759C3" w:rsidRDefault="006577D2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F55" w:rsidRPr="003A1402" w:rsidTr="001759C3">
        <w:trPr>
          <w:trHeight w:val="52"/>
        </w:trPr>
        <w:tc>
          <w:tcPr>
            <w:tcW w:w="1276" w:type="dxa"/>
            <w:vMerge/>
          </w:tcPr>
          <w:p w:rsidR="006577D2" w:rsidRPr="001759C3" w:rsidRDefault="006577D2" w:rsidP="00EA5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577D2" w:rsidRPr="001759C3" w:rsidRDefault="006577D2" w:rsidP="0017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Zagrożenia powodziowe</w:t>
            </w:r>
          </w:p>
        </w:tc>
        <w:tc>
          <w:tcPr>
            <w:tcW w:w="1842" w:type="dxa"/>
          </w:tcPr>
          <w:p w:rsidR="006577D2" w:rsidRPr="001759C3" w:rsidRDefault="000F2484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wymienia główne przyczyny powodzi</w:t>
            </w:r>
          </w:p>
        </w:tc>
        <w:tc>
          <w:tcPr>
            <w:tcW w:w="1843" w:type="dxa"/>
          </w:tcPr>
          <w:p w:rsidR="006577D2" w:rsidRPr="001759C3" w:rsidRDefault="000F2484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wymienia zadania państwa w zakresie ochrony przeciwpowodziowej</w:t>
            </w:r>
          </w:p>
          <w:p w:rsidR="000F2484" w:rsidRPr="001759C3" w:rsidRDefault="000F2484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wyjaśnia jak należy się zachowywać w czasie powodzi</w:t>
            </w:r>
          </w:p>
        </w:tc>
        <w:tc>
          <w:tcPr>
            <w:tcW w:w="1985" w:type="dxa"/>
          </w:tcPr>
          <w:p w:rsidR="006577D2" w:rsidRPr="001759C3" w:rsidRDefault="000F2484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uzasadnia bezwzględny nakaz stosowania się do poleceń służb ratowniczych i sanitarnych w czasie powodzi </w:t>
            </w:r>
          </w:p>
        </w:tc>
        <w:tc>
          <w:tcPr>
            <w:tcW w:w="1559" w:type="dxa"/>
          </w:tcPr>
          <w:p w:rsidR="006577D2" w:rsidRPr="001759C3" w:rsidRDefault="000F2484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opisuje zasady postępowania po opadnięciu wód powodziowych</w:t>
            </w:r>
          </w:p>
        </w:tc>
        <w:tc>
          <w:tcPr>
            <w:tcW w:w="1559" w:type="dxa"/>
          </w:tcPr>
          <w:p w:rsidR="006577D2" w:rsidRPr="001759C3" w:rsidRDefault="000F2484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planuje niezbędne zapasy, które powinien zgromadzić dla swojej rodziny, aby przetrwać kilka dni w sytuacji kryzysowej</w:t>
            </w:r>
          </w:p>
        </w:tc>
      </w:tr>
      <w:tr w:rsidR="00DB5F55" w:rsidRPr="003A1402" w:rsidTr="001759C3">
        <w:trPr>
          <w:trHeight w:val="52"/>
        </w:trPr>
        <w:tc>
          <w:tcPr>
            <w:tcW w:w="1276" w:type="dxa"/>
            <w:vMerge/>
          </w:tcPr>
          <w:p w:rsidR="006577D2" w:rsidRPr="001759C3" w:rsidRDefault="006577D2" w:rsidP="00EA5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577D2" w:rsidRPr="001759C3" w:rsidRDefault="006577D2" w:rsidP="0017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Ekstremalne warunki pogodowe</w:t>
            </w:r>
          </w:p>
        </w:tc>
        <w:tc>
          <w:tcPr>
            <w:tcW w:w="1842" w:type="dxa"/>
          </w:tcPr>
          <w:p w:rsidR="006577D2" w:rsidRPr="001759C3" w:rsidRDefault="000F2484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wymienia pogodowe zagrożenia dla bezpieczeństwa człowieka</w:t>
            </w:r>
          </w:p>
        </w:tc>
        <w:tc>
          <w:tcPr>
            <w:tcW w:w="1843" w:type="dxa"/>
          </w:tcPr>
          <w:p w:rsidR="006577D2" w:rsidRPr="001759C3" w:rsidRDefault="000F2484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A703AB"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omawia sposoby ochrony przed wysokimi i niskimi temperaturami </w:t>
            </w:r>
          </w:p>
        </w:tc>
        <w:tc>
          <w:tcPr>
            <w:tcW w:w="1985" w:type="dxa"/>
          </w:tcPr>
          <w:p w:rsidR="006577D2" w:rsidRPr="001759C3" w:rsidRDefault="00A703A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opisuje praktyczne sposoby przeciwdziałania zagrożeniom podczas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intensywni nt opadów śniegu oraz niskich temperatur</w:t>
            </w:r>
          </w:p>
        </w:tc>
        <w:tc>
          <w:tcPr>
            <w:tcW w:w="1559" w:type="dxa"/>
          </w:tcPr>
          <w:p w:rsidR="006577D2" w:rsidRPr="001759C3" w:rsidRDefault="00A703A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omawia sposoby ochrony przed niszczącymi skutkami upałów,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wichury i gwałtownych burz </w:t>
            </w:r>
          </w:p>
        </w:tc>
        <w:tc>
          <w:tcPr>
            <w:tcW w:w="1559" w:type="dxa"/>
          </w:tcPr>
          <w:p w:rsidR="006577D2" w:rsidRPr="001759C3" w:rsidRDefault="006577D2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F55" w:rsidRPr="00DF06F0" w:rsidTr="001759C3">
        <w:trPr>
          <w:trHeight w:val="52"/>
        </w:trPr>
        <w:tc>
          <w:tcPr>
            <w:tcW w:w="1276" w:type="dxa"/>
            <w:vMerge/>
          </w:tcPr>
          <w:p w:rsidR="006577D2" w:rsidRPr="001759C3" w:rsidRDefault="006577D2" w:rsidP="00EA5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577D2" w:rsidRPr="001759C3" w:rsidRDefault="006577D2" w:rsidP="0017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Wypadki i katastrofy komunikacyjne. Niebezpieczne substancje</w:t>
            </w:r>
          </w:p>
        </w:tc>
        <w:tc>
          <w:tcPr>
            <w:tcW w:w="1842" w:type="dxa"/>
          </w:tcPr>
          <w:p w:rsidR="006577D2" w:rsidRPr="001759C3" w:rsidRDefault="00DF06F0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wymienia główne przyczyny wypadków komunikacyjnych</w:t>
            </w:r>
          </w:p>
        </w:tc>
        <w:tc>
          <w:tcPr>
            <w:tcW w:w="1843" w:type="dxa"/>
          </w:tcPr>
          <w:p w:rsidR="006577D2" w:rsidRPr="001759C3" w:rsidRDefault="00DF06F0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omawia podstawowe zasady postępowania ratownika w miejscu zdarzenia (wypadek komunikacyjny)</w:t>
            </w:r>
          </w:p>
        </w:tc>
        <w:tc>
          <w:tcPr>
            <w:tcW w:w="1985" w:type="dxa"/>
          </w:tcPr>
          <w:p w:rsidR="006577D2" w:rsidRPr="001759C3" w:rsidRDefault="00DF06F0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omawia sposoby zapewnienia bezpieczeństwa poszkodowanym, ratownikowi, osobom postronnym i w miejscu zdarzenia</w:t>
            </w:r>
          </w:p>
          <w:p w:rsidR="00DF06F0" w:rsidRPr="001759C3" w:rsidRDefault="00DF06F0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wymienia czynności, które należy wykonać, aby ocenić sytuację na miejscu zdarzenia, i stosuje tę wiedzę w praktyce</w:t>
            </w:r>
          </w:p>
        </w:tc>
        <w:tc>
          <w:tcPr>
            <w:tcW w:w="1559" w:type="dxa"/>
          </w:tcPr>
          <w:p w:rsidR="006577D2" w:rsidRPr="001759C3" w:rsidRDefault="00DF06F0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opisuje zagrożenia towarzyszące tym wypadkom</w:t>
            </w:r>
          </w:p>
        </w:tc>
        <w:tc>
          <w:tcPr>
            <w:tcW w:w="1559" w:type="dxa"/>
          </w:tcPr>
          <w:p w:rsidR="006577D2" w:rsidRPr="001759C3" w:rsidRDefault="00DF06F0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opisuje zasady kodowania informacji na tablicach ADR</w:t>
            </w:r>
          </w:p>
        </w:tc>
      </w:tr>
      <w:tr w:rsidR="00DB5F55" w:rsidRPr="003A1402" w:rsidTr="001759C3">
        <w:trPr>
          <w:trHeight w:val="52"/>
        </w:trPr>
        <w:tc>
          <w:tcPr>
            <w:tcW w:w="1276" w:type="dxa"/>
            <w:vMerge/>
          </w:tcPr>
          <w:p w:rsidR="006577D2" w:rsidRPr="001759C3" w:rsidRDefault="006577D2" w:rsidP="00EA5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577D2" w:rsidRPr="001759C3" w:rsidRDefault="00362082" w:rsidP="0017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Zagrożenia terrorystyczne</w:t>
            </w:r>
          </w:p>
        </w:tc>
        <w:tc>
          <w:tcPr>
            <w:tcW w:w="1842" w:type="dxa"/>
          </w:tcPr>
          <w:p w:rsidR="006577D2" w:rsidRPr="001759C3" w:rsidRDefault="00DF06F0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definiuje pojęcie terroryzmu</w:t>
            </w:r>
          </w:p>
        </w:tc>
        <w:tc>
          <w:tcPr>
            <w:tcW w:w="1843" w:type="dxa"/>
          </w:tcPr>
          <w:p w:rsidR="006577D2" w:rsidRPr="001759C3" w:rsidRDefault="00DF06F0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wymienia rodzaje terroryzmu</w:t>
            </w:r>
          </w:p>
        </w:tc>
        <w:tc>
          <w:tcPr>
            <w:tcW w:w="1985" w:type="dxa"/>
          </w:tcPr>
          <w:p w:rsidR="006577D2" w:rsidRPr="001759C3" w:rsidRDefault="00DF06F0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rozumie konieczność powiadamiania służb porządkowych (policji, straży miejskiej) o podejrzanie zachowujących się osobach lub podejrzanych przedmiotach zauważonych w miejscach publicznych</w:t>
            </w:r>
          </w:p>
        </w:tc>
        <w:tc>
          <w:tcPr>
            <w:tcW w:w="1559" w:type="dxa"/>
          </w:tcPr>
          <w:p w:rsidR="006577D2" w:rsidRPr="001759C3" w:rsidRDefault="00DF06F0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opisuje zas</w:t>
            </w:r>
            <w:r w:rsidR="00DB5F55" w:rsidRPr="001759C3">
              <w:rPr>
                <w:rFonts w:ascii="Times New Roman" w:hAnsi="Times New Roman" w:cs="Times New Roman"/>
                <w:sz w:val="18"/>
                <w:szCs w:val="18"/>
              </w:rPr>
              <w:t>ady zachowania się na wypadek:  strzelaniny ,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znalezien</w:t>
            </w:r>
            <w:r w:rsidR="00DB5F55" w:rsidRPr="001759C3">
              <w:rPr>
                <w:rFonts w:ascii="Times New Roman" w:hAnsi="Times New Roman" w:cs="Times New Roman"/>
                <w:sz w:val="18"/>
                <w:szCs w:val="18"/>
              </w:rPr>
              <w:t>ia się w sytuacji zakładniczek, ataku bombowego , ataku gazowego ,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 otrzymania podejrzanej przesyłki</w:t>
            </w:r>
          </w:p>
        </w:tc>
        <w:tc>
          <w:tcPr>
            <w:tcW w:w="1559" w:type="dxa"/>
          </w:tcPr>
          <w:p w:rsidR="006577D2" w:rsidRPr="001759C3" w:rsidRDefault="00DF06F0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omawia genezę i formy współczesnych aktów terroru</w:t>
            </w:r>
          </w:p>
        </w:tc>
      </w:tr>
      <w:tr w:rsidR="00B7035A" w:rsidRPr="003A1402" w:rsidTr="001759C3">
        <w:trPr>
          <w:trHeight w:val="56"/>
        </w:trPr>
        <w:tc>
          <w:tcPr>
            <w:tcW w:w="1276" w:type="dxa"/>
            <w:vMerge w:val="restart"/>
            <w:textDirection w:val="btLr"/>
            <w:vAlign w:val="center"/>
          </w:tcPr>
          <w:p w:rsidR="00B7035A" w:rsidRPr="001759C3" w:rsidRDefault="00B7035A" w:rsidP="001759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Podstawy pierwszej pomocy</w:t>
            </w:r>
          </w:p>
        </w:tc>
        <w:tc>
          <w:tcPr>
            <w:tcW w:w="1560" w:type="dxa"/>
            <w:vAlign w:val="center"/>
          </w:tcPr>
          <w:p w:rsidR="00B7035A" w:rsidRPr="001759C3" w:rsidRDefault="00B7035A" w:rsidP="0017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Podstawowe wiadomości z zakresu pierwszej pomoc</w:t>
            </w:r>
          </w:p>
        </w:tc>
        <w:tc>
          <w:tcPr>
            <w:tcW w:w="1842" w:type="dxa"/>
          </w:tcPr>
          <w:p w:rsidR="00B7035A" w:rsidRPr="001759C3" w:rsidRDefault="008142DC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DD1ECB" w:rsidRPr="001759C3">
              <w:rPr>
                <w:rFonts w:ascii="Times New Roman" w:hAnsi="Times New Roman" w:cs="Times New Roman"/>
                <w:sz w:val="18"/>
                <w:szCs w:val="18"/>
              </w:rPr>
              <w:t>wyjaśnia termin „pierwsza pomoc”</w:t>
            </w:r>
          </w:p>
        </w:tc>
        <w:tc>
          <w:tcPr>
            <w:tcW w:w="1843" w:type="dxa"/>
          </w:tcPr>
          <w:p w:rsidR="00B7035A" w:rsidRPr="001759C3" w:rsidRDefault="00DD1E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określa prawny i moralny obowiązek niesienia pomocy poszkodowanym</w:t>
            </w:r>
          </w:p>
          <w:p w:rsidR="00DD1ECB" w:rsidRPr="001759C3" w:rsidRDefault="00DD1E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wyjaśnia znaczenie czasu podczas udzielania pierwszej pomocy</w:t>
            </w:r>
          </w:p>
        </w:tc>
        <w:tc>
          <w:tcPr>
            <w:tcW w:w="1985" w:type="dxa"/>
          </w:tcPr>
          <w:p w:rsidR="00B7035A" w:rsidRPr="001759C3" w:rsidRDefault="00DD1E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wyjaśnia rolę układów: krążenia, nerwowego, oddechowego w utrzymaniu podstawowych funkcji życiowych</w:t>
            </w:r>
          </w:p>
        </w:tc>
        <w:tc>
          <w:tcPr>
            <w:tcW w:w="1559" w:type="dxa"/>
          </w:tcPr>
          <w:p w:rsidR="00B7035A" w:rsidRPr="001759C3" w:rsidRDefault="00DD1ECB" w:rsidP="00DD1ECB">
            <w:pPr>
              <w:tabs>
                <w:tab w:val="center" w:pos="6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opisuje przyczyny i okoliczności prowadzące do szybkiego pogorszenia stanu zdrowia lub zagrożenia życia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559" w:type="dxa"/>
          </w:tcPr>
          <w:p w:rsidR="00B7035A" w:rsidRPr="001759C3" w:rsidRDefault="00DD1E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wyjaśnia pojęcie „stan nagłego zagrożenia zdrowotnego”</w:t>
            </w:r>
          </w:p>
        </w:tc>
      </w:tr>
      <w:tr w:rsidR="00B7035A" w:rsidRPr="003A1402" w:rsidTr="001759C3">
        <w:trPr>
          <w:trHeight w:val="1417"/>
        </w:trPr>
        <w:tc>
          <w:tcPr>
            <w:tcW w:w="1276" w:type="dxa"/>
            <w:vMerge/>
          </w:tcPr>
          <w:p w:rsidR="00B7035A" w:rsidRPr="001759C3" w:rsidRDefault="00B7035A" w:rsidP="00EA5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035A" w:rsidRPr="001759C3" w:rsidRDefault="00B7035A" w:rsidP="0017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Postępowanie w miejscu zdarzenia</w:t>
            </w:r>
          </w:p>
        </w:tc>
        <w:tc>
          <w:tcPr>
            <w:tcW w:w="1842" w:type="dxa"/>
          </w:tcPr>
          <w:p w:rsidR="00B7035A" w:rsidRPr="001759C3" w:rsidRDefault="00DD1E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podaje numery alarmowe</w:t>
            </w:r>
          </w:p>
        </w:tc>
        <w:tc>
          <w:tcPr>
            <w:tcW w:w="1843" w:type="dxa"/>
          </w:tcPr>
          <w:p w:rsidR="00B7035A" w:rsidRPr="001759C3" w:rsidRDefault="00DD1E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poprawnie konstruuje komunikat wzywający pomoc fachową</w:t>
            </w:r>
          </w:p>
          <w:p w:rsidR="00DD1ECB" w:rsidRPr="001759C3" w:rsidRDefault="00DD1E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demonstruje bezpieczny sposób zdejmowania rękawiczek jednorazowych</w:t>
            </w:r>
          </w:p>
        </w:tc>
        <w:tc>
          <w:tcPr>
            <w:tcW w:w="1985" w:type="dxa"/>
          </w:tcPr>
          <w:p w:rsidR="00B7035A" w:rsidRPr="001759C3" w:rsidRDefault="00DD1E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wymienia czynności, które na miejscu zdarzenia należy podjąć w trosce o bezpieczeństwo: świadka, ratownika, poszkodowanych, miejsca zdarzenia i pozostałych osób</w:t>
            </w:r>
          </w:p>
          <w:p w:rsidR="00DD1ECB" w:rsidRPr="001759C3" w:rsidRDefault="00DD1E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wskazuje sposób zabezpieczenia się ratownika w kontakcie z poszkodowanym</w:t>
            </w:r>
          </w:p>
        </w:tc>
        <w:tc>
          <w:tcPr>
            <w:tcW w:w="1559" w:type="dxa"/>
          </w:tcPr>
          <w:p w:rsidR="00B7035A" w:rsidRPr="001759C3" w:rsidRDefault="00DD1E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opisuje wybrane sposoby transportu osób przytomnych i nieprzytomnych</w:t>
            </w:r>
          </w:p>
        </w:tc>
        <w:tc>
          <w:tcPr>
            <w:tcW w:w="1559" w:type="dxa"/>
          </w:tcPr>
          <w:p w:rsidR="00B7035A" w:rsidRPr="001759C3" w:rsidRDefault="00DD1E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podaje przykład aplikacji na telefon pomocnej w udzielaniu pierwszej pomocy</w:t>
            </w:r>
          </w:p>
        </w:tc>
      </w:tr>
      <w:tr w:rsidR="00B7035A" w:rsidRPr="003A1402" w:rsidTr="001759C3">
        <w:trPr>
          <w:trHeight w:val="53"/>
        </w:trPr>
        <w:tc>
          <w:tcPr>
            <w:tcW w:w="1276" w:type="dxa"/>
            <w:vMerge/>
          </w:tcPr>
          <w:p w:rsidR="00B7035A" w:rsidRPr="001759C3" w:rsidRDefault="00B7035A" w:rsidP="00EA5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035A" w:rsidRPr="001759C3" w:rsidRDefault="00B7035A" w:rsidP="0017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Pomoc osobie nieprzytomnej</w:t>
            </w:r>
          </w:p>
        </w:tc>
        <w:tc>
          <w:tcPr>
            <w:tcW w:w="1842" w:type="dxa"/>
          </w:tcPr>
          <w:p w:rsidR="00B7035A" w:rsidRPr="001759C3" w:rsidRDefault="00DD1E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wyjaśnia pojęcie „nagłe zatrzymanie krążenia”</w:t>
            </w:r>
          </w:p>
        </w:tc>
        <w:tc>
          <w:tcPr>
            <w:tcW w:w="1843" w:type="dxa"/>
          </w:tcPr>
          <w:p w:rsidR="001B0638" w:rsidRPr="001759C3" w:rsidRDefault="00DD1E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ocenia bezpieczeństwo miejsca wypadku - ocenia stan świadomości poszkodowanego</w:t>
            </w:r>
          </w:p>
          <w:p w:rsidR="00DD1ECB" w:rsidRPr="001759C3" w:rsidRDefault="00DD1E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 - wymienia objawy utraty przytomności </w:t>
            </w:r>
          </w:p>
          <w:p w:rsidR="001B0638" w:rsidRPr="001759C3" w:rsidRDefault="00DD1E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ocenia stan poszkodowanego wg schematu ABC</w:t>
            </w:r>
          </w:p>
          <w:p w:rsidR="00B7035A" w:rsidRPr="001759C3" w:rsidRDefault="00DD1E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udrażnia drogi oddechowe (rękoczynem czoło– żuchwa)</w:t>
            </w:r>
          </w:p>
        </w:tc>
        <w:tc>
          <w:tcPr>
            <w:tcW w:w="1985" w:type="dxa"/>
          </w:tcPr>
          <w:p w:rsidR="00DD1ECB" w:rsidRPr="001759C3" w:rsidRDefault="00DD1E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wyjaśnia mechanizm niedrożności dróg oddechowych u osoby nieprzytomnej </w:t>
            </w:r>
          </w:p>
          <w:p w:rsidR="00DD1ECB" w:rsidRPr="001759C3" w:rsidRDefault="00DD1E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sprawdza, czy poszkodowany oddycha </w:t>
            </w:r>
          </w:p>
          <w:p w:rsidR="00DD1ECB" w:rsidRPr="001759C3" w:rsidRDefault="00DD1E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-układa poszkodowanego nieprzytomnego, ale oddychającego, w pozycji bezpiecznej</w:t>
            </w:r>
          </w:p>
          <w:p w:rsidR="001B0638" w:rsidRPr="001759C3" w:rsidRDefault="00DD1E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 -zapewnia poszkodowanemu ochronę termiczną </w:t>
            </w:r>
          </w:p>
          <w:p w:rsidR="00B7035A" w:rsidRPr="001759C3" w:rsidRDefault="00DD1E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umiejętnie stosuje folię NRC</w:t>
            </w:r>
          </w:p>
        </w:tc>
        <w:tc>
          <w:tcPr>
            <w:tcW w:w="1559" w:type="dxa"/>
          </w:tcPr>
          <w:p w:rsidR="001B0638" w:rsidRPr="001759C3" w:rsidRDefault="00DD1E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wymienia główne przyczyny omdlenia </w:t>
            </w:r>
          </w:p>
          <w:p w:rsidR="001B0638" w:rsidRPr="001759C3" w:rsidRDefault="00DD1E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  -charakteryzuje objawy zwiastujące omdlenie  </w:t>
            </w:r>
          </w:p>
          <w:p w:rsidR="00B7035A" w:rsidRPr="001759C3" w:rsidRDefault="00DD1E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 -udziela pierwszej pomocy w przypadku omdlenia</w:t>
            </w:r>
          </w:p>
        </w:tc>
        <w:tc>
          <w:tcPr>
            <w:tcW w:w="1559" w:type="dxa"/>
          </w:tcPr>
          <w:p w:rsidR="00B7035A" w:rsidRPr="001759C3" w:rsidRDefault="00DD1E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wyjaśnia, kiedy można zastosować odwrócony schemat CAB</w:t>
            </w:r>
          </w:p>
        </w:tc>
      </w:tr>
      <w:tr w:rsidR="00B7035A" w:rsidRPr="003A1402" w:rsidTr="001759C3">
        <w:trPr>
          <w:trHeight w:val="53"/>
        </w:trPr>
        <w:tc>
          <w:tcPr>
            <w:tcW w:w="1276" w:type="dxa"/>
            <w:vMerge/>
          </w:tcPr>
          <w:p w:rsidR="00B7035A" w:rsidRPr="001759C3" w:rsidRDefault="00B7035A" w:rsidP="00EA5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035A" w:rsidRPr="001759C3" w:rsidRDefault="00B7035A" w:rsidP="0017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Resuscytacja </w:t>
            </w: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krążeniowo- oddechowa</w:t>
            </w:r>
          </w:p>
        </w:tc>
        <w:tc>
          <w:tcPr>
            <w:tcW w:w="1842" w:type="dxa"/>
          </w:tcPr>
          <w:p w:rsidR="00B7035A" w:rsidRPr="001759C3" w:rsidRDefault="00E822D1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</w:t>
            </w:r>
            <w:r w:rsidR="00567769" w:rsidRPr="001759C3">
              <w:rPr>
                <w:rFonts w:ascii="Times New Roman" w:hAnsi="Times New Roman" w:cs="Times New Roman"/>
                <w:sz w:val="18"/>
                <w:szCs w:val="18"/>
              </w:rPr>
              <w:t>rozwija skrót RKO</w:t>
            </w:r>
          </w:p>
          <w:p w:rsidR="00567769" w:rsidRPr="001759C3" w:rsidRDefault="00567769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wymienia etapy algorytmu RKO u osoby dorosłej</w:t>
            </w:r>
          </w:p>
        </w:tc>
        <w:tc>
          <w:tcPr>
            <w:tcW w:w="1843" w:type="dxa"/>
          </w:tcPr>
          <w:p w:rsidR="00B7035A" w:rsidRPr="001759C3" w:rsidRDefault="00567769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omawia algorytm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ratowniczy RKO u dorosłych i dzieci</w:t>
            </w:r>
          </w:p>
          <w:p w:rsidR="00567769" w:rsidRPr="001759C3" w:rsidRDefault="00567769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wykonuje pełen cykl RKO na manekinie dorosłego i niemowlęcia (samodzielnie i w parze) </w:t>
            </w:r>
          </w:p>
          <w:p w:rsidR="00567769" w:rsidRPr="001759C3" w:rsidRDefault="00567769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stosuje środki ochrony osobistej podczas wykonywania RKO</w:t>
            </w:r>
          </w:p>
        </w:tc>
        <w:tc>
          <w:tcPr>
            <w:tcW w:w="1985" w:type="dxa"/>
          </w:tcPr>
          <w:p w:rsidR="00B7035A" w:rsidRPr="001759C3" w:rsidRDefault="00567769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wymienia warunki i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czynniki zapewniające realizację RKO na wysokim poziomie skuteczności</w:t>
            </w:r>
          </w:p>
        </w:tc>
        <w:tc>
          <w:tcPr>
            <w:tcW w:w="1559" w:type="dxa"/>
          </w:tcPr>
          <w:p w:rsidR="00B7035A" w:rsidRPr="001759C3" w:rsidRDefault="00567769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opisuje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znaczenie RKO w akcji ratowniczej,</w:t>
            </w:r>
          </w:p>
          <w:p w:rsidR="00567769" w:rsidRPr="001759C3" w:rsidRDefault="00567769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opisuje działanie i obsługę automatycznego defibrylatora zewnętrznego</w:t>
            </w:r>
          </w:p>
        </w:tc>
        <w:tc>
          <w:tcPr>
            <w:tcW w:w="1559" w:type="dxa"/>
          </w:tcPr>
          <w:p w:rsidR="00B7035A" w:rsidRPr="001759C3" w:rsidRDefault="00E822D1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przedstawia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zalety zastosowania AED w akcji ratowniczej</w:t>
            </w:r>
          </w:p>
        </w:tc>
      </w:tr>
      <w:tr w:rsidR="00B7035A" w:rsidRPr="003A1402" w:rsidTr="001759C3">
        <w:trPr>
          <w:trHeight w:val="53"/>
        </w:trPr>
        <w:tc>
          <w:tcPr>
            <w:tcW w:w="1276" w:type="dxa"/>
            <w:vMerge/>
          </w:tcPr>
          <w:p w:rsidR="00B7035A" w:rsidRPr="001759C3" w:rsidRDefault="00B7035A" w:rsidP="00EA5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035A" w:rsidRPr="001759C3" w:rsidRDefault="00B7035A" w:rsidP="0017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Apteczka pierwszej pomocy</w:t>
            </w:r>
          </w:p>
        </w:tc>
        <w:tc>
          <w:tcPr>
            <w:tcW w:w="1842" w:type="dxa"/>
          </w:tcPr>
          <w:p w:rsidR="00B7035A" w:rsidRPr="001759C3" w:rsidRDefault="00567769" w:rsidP="00567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wylicza przedmioty wchodzące w skład apteczki pierwszej pomocy</w:t>
            </w:r>
          </w:p>
        </w:tc>
        <w:tc>
          <w:tcPr>
            <w:tcW w:w="1843" w:type="dxa"/>
          </w:tcPr>
          <w:p w:rsidR="00B7035A" w:rsidRPr="001759C3" w:rsidRDefault="00567769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posługuje się apteczką pierwszej pomocy</w:t>
            </w:r>
          </w:p>
        </w:tc>
        <w:tc>
          <w:tcPr>
            <w:tcW w:w="1985" w:type="dxa"/>
          </w:tcPr>
          <w:p w:rsidR="00B7035A" w:rsidRPr="001759C3" w:rsidRDefault="00567769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D65FCB" w:rsidRPr="001759C3">
              <w:rPr>
                <w:rFonts w:ascii="Times New Roman" w:hAnsi="Times New Roman" w:cs="Times New Roman"/>
                <w:sz w:val="18"/>
                <w:szCs w:val="18"/>
              </w:rPr>
              <w:t>-omawia zasady postępowania aseptycznego i bezpiecznego dla ratownika</w:t>
            </w:r>
          </w:p>
        </w:tc>
        <w:tc>
          <w:tcPr>
            <w:tcW w:w="1559" w:type="dxa"/>
          </w:tcPr>
          <w:p w:rsidR="00B7035A" w:rsidRPr="001759C3" w:rsidRDefault="00567769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omawia przeznaczenie i podstawowe typy apteczek pierwszej pomocy</w:t>
            </w:r>
          </w:p>
        </w:tc>
        <w:tc>
          <w:tcPr>
            <w:tcW w:w="1559" w:type="dxa"/>
          </w:tcPr>
          <w:p w:rsidR="00B7035A" w:rsidRPr="001759C3" w:rsidRDefault="00567769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proponuje improwizowane środki opatrunkowe, zależnie od rodzaju zranienia</w:t>
            </w:r>
          </w:p>
        </w:tc>
      </w:tr>
      <w:tr w:rsidR="00B7035A" w:rsidRPr="003A1402" w:rsidTr="001759C3">
        <w:trPr>
          <w:trHeight w:val="53"/>
        </w:trPr>
        <w:tc>
          <w:tcPr>
            <w:tcW w:w="1276" w:type="dxa"/>
            <w:vMerge/>
          </w:tcPr>
          <w:p w:rsidR="00B7035A" w:rsidRPr="001759C3" w:rsidRDefault="00B7035A" w:rsidP="00EA5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035A" w:rsidRPr="001759C3" w:rsidRDefault="00B7035A" w:rsidP="0017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Tamowanie krwotoków</w:t>
            </w:r>
          </w:p>
        </w:tc>
        <w:tc>
          <w:tcPr>
            <w:tcW w:w="1842" w:type="dxa"/>
          </w:tcPr>
          <w:p w:rsidR="00B7035A" w:rsidRPr="001759C3" w:rsidRDefault="00D65F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wyjaśnia pojęcia: rana, krwotok, opatrunek uciskowy, opatrunek osłaniający</w:t>
            </w:r>
          </w:p>
        </w:tc>
        <w:tc>
          <w:tcPr>
            <w:tcW w:w="1843" w:type="dxa"/>
          </w:tcPr>
          <w:p w:rsidR="00B7035A" w:rsidRPr="001759C3" w:rsidRDefault="00D65F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wykonuje w obrębie kończyny opatrunki uciskowe i osłaniające</w:t>
            </w:r>
          </w:p>
        </w:tc>
        <w:tc>
          <w:tcPr>
            <w:tcW w:w="1985" w:type="dxa"/>
          </w:tcPr>
          <w:p w:rsidR="00B7035A" w:rsidRPr="001759C3" w:rsidRDefault="00D65F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wymienia rodzaje krwotoków i charakteryzuje je</w:t>
            </w:r>
          </w:p>
        </w:tc>
        <w:tc>
          <w:tcPr>
            <w:tcW w:w="1559" w:type="dxa"/>
          </w:tcPr>
          <w:p w:rsidR="00B7035A" w:rsidRPr="001759C3" w:rsidRDefault="00D65F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demonstruje sposób tamowania krwotoku z nosa</w:t>
            </w:r>
          </w:p>
        </w:tc>
        <w:tc>
          <w:tcPr>
            <w:tcW w:w="1559" w:type="dxa"/>
          </w:tcPr>
          <w:p w:rsidR="00B7035A" w:rsidRPr="001759C3" w:rsidRDefault="00D65F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wykonuje opatrunek zależnie od miejsca zranienia (inne niż kończyna)</w:t>
            </w:r>
          </w:p>
        </w:tc>
      </w:tr>
      <w:tr w:rsidR="00B7035A" w:rsidRPr="003A1402" w:rsidTr="001759C3">
        <w:trPr>
          <w:trHeight w:val="53"/>
        </w:trPr>
        <w:tc>
          <w:tcPr>
            <w:tcW w:w="1276" w:type="dxa"/>
            <w:vMerge/>
          </w:tcPr>
          <w:p w:rsidR="00B7035A" w:rsidRPr="001759C3" w:rsidRDefault="00B7035A" w:rsidP="00EA5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035A" w:rsidRPr="001759C3" w:rsidRDefault="00B7035A" w:rsidP="0017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Złamania i zwichnięcia</w:t>
            </w:r>
          </w:p>
        </w:tc>
        <w:tc>
          <w:tcPr>
            <w:tcW w:w="1842" w:type="dxa"/>
          </w:tcPr>
          <w:p w:rsidR="00B7035A" w:rsidRPr="001759C3" w:rsidRDefault="00D65FCB" w:rsidP="00D65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wyjaśnia pojęcia: złamanie, zwichnięcie, skręcenie</w:t>
            </w:r>
          </w:p>
        </w:tc>
        <w:tc>
          <w:tcPr>
            <w:tcW w:w="1843" w:type="dxa"/>
          </w:tcPr>
          <w:p w:rsidR="00B7035A" w:rsidRPr="001759C3" w:rsidRDefault="00D65F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zna i stosuje zasady doraźnego unieruchomienia kości i stawów</w:t>
            </w:r>
          </w:p>
        </w:tc>
        <w:tc>
          <w:tcPr>
            <w:tcW w:w="1985" w:type="dxa"/>
          </w:tcPr>
          <w:p w:rsidR="00B7035A" w:rsidRPr="001759C3" w:rsidRDefault="00D65F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omawia pryncypialne zasady postępowania w przypadku podejrzenia urazów kręgosłupa</w:t>
            </w:r>
          </w:p>
        </w:tc>
        <w:tc>
          <w:tcPr>
            <w:tcW w:w="1559" w:type="dxa"/>
          </w:tcPr>
          <w:p w:rsidR="00B7035A" w:rsidRPr="001759C3" w:rsidRDefault="00D65F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 opisuje najczęstsze okoliczności urazów kręgosłupa</w:t>
            </w:r>
          </w:p>
        </w:tc>
        <w:tc>
          <w:tcPr>
            <w:tcW w:w="1559" w:type="dxa"/>
          </w:tcPr>
          <w:p w:rsidR="00B7035A" w:rsidRPr="001759C3" w:rsidRDefault="00D65F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podaje przykłady zapobiegania urazom w domu, w pracy, podczas rekreacji i w sporcie</w:t>
            </w:r>
          </w:p>
        </w:tc>
      </w:tr>
      <w:tr w:rsidR="00B7035A" w:rsidRPr="003A1402" w:rsidTr="001759C3">
        <w:trPr>
          <w:trHeight w:val="53"/>
        </w:trPr>
        <w:tc>
          <w:tcPr>
            <w:tcW w:w="1276" w:type="dxa"/>
            <w:vMerge/>
          </w:tcPr>
          <w:p w:rsidR="00B7035A" w:rsidRPr="001759C3" w:rsidRDefault="00B7035A" w:rsidP="00EA5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035A" w:rsidRPr="001759C3" w:rsidRDefault="00B7035A" w:rsidP="0017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Oparzenia i odmrożenia</w:t>
            </w:r>
          </w:p>
        </w:tc>
        <w:tc>
          <w:tcPr>
            <w:tcW w:w="1842" w:type="dxa"/>
          </w:tcPr>
          <w:p w:rsidR="00B7035A" w:rsidRPr="001759C3" w:rsidRDefault="00D65F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wyjaśnia pojęcia: oparzenie, udar słoneczny, udar cieplny, odmrożenie, wychłodzenie</w:t>
            </w:r>
          </w:p>
        </w:tc>
        <w:tc>
          <w:tcPr>
            <w:tcW w:w="1843" w:type="dxa"/>
          </w:tcPr>
          <w:p w:rsidR="00B7035A" w:rsidRPr="001759C3" w:rsidRDefault="00D65F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omawia zasady postępowania ratowniczego w przypadkach: oparzeń termicznych, oparzeń środkami chemicznymi, wychłodzenia organizmu i odmrożeń</w:t>
            </w:r>
          </w:p>
        </w:tc>
        <w:tc>
          <w:tcPr>
            <w:tcW w:w="1985" w:type="dxa"/>
          </w:tcPr>
          <w:p w:rsidR="00B7035A" w:rsidRPr="001759C3" w:rsidRDefault="00D65F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demonstruje sposób schładzania oparzonej kończyny</w:t>
            </w:r>
          </w:p>
        </w:tc>
        <w:tc>
          <w:tcPr>
            <w:tcW w:w="1559" w:type="dxa"/>
          </w:tcPr>
          <w:p w:rsidR="00B7035A" w:rsidRPr="001759C3" w:rsidRDefault="00D65F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proponuje skuteczne sposoby zapobiegania oparzeniom, ze szczególnym uwzględnieniem środowiska domowego i małych dzieci</w:t>
            </w:r>
          </w:p>
        </w:tc>
        <w:tc>
          <w:tcPr>
            <w:tcW w:w="1559" w:type="dxa"/>
          </w:tcPr>
          <w:p w:rsidR="00B7035A" w:rsidRPr="001759C3" w:rsidRDefault="00B7035A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35A" w:rsidRPr="003A1402" w:rsidTr="001759C3">
        <w:trPr>
          <w:trHeight w:val="53"/>
        </w:trPr>
        <w:tc>
          <w:tcPr>
            <w:tcW w:w="1276" w:type="dxa"/>
            <w:vMerge/>
          </w:tcPr>
          <w:p w:rsidR="00B7035A" w:rsidRPr="001759C3" w:rsidRDefault="00B7035A" w:rsidP="00EA5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035A" w:rsidRPr="001759C3" w:rsidRDefault="00B7035A" w:rsidP="0017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Inne groźne przypadki</w:t>
            </w:r>
          </w:p>
        </w:tc>
        <w:tc>
          <w:tcPr>
            <w:tcW w:w="1842" w:type="dxa"/>
          </w:tcPr>
          <w:p w:rsidR="00B7035A" w:rsidRPr="001759C3" w:rsidRDefault="00D65F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wymienia inne groźne wypadki </w:t>
            </w:r>
          </w:p>
          <w:p w:rsidR="00822759" w:rsidRPr="001759C3" w:rsidRDefault="00822759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definiuje zadławienie </w:t>
            </w:r>
          </w:p>
        </w:tc>
        <w:tc>
          <w:tcPr>
            <w:tcW w:w="1843" w:type="dxa"/>
          </w:tcPr>
          <w:p w:rsidR="00B7035A" w:rsidRPr="001759C3" w:rsidRDefault="00D65F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omawia objawy oraz sposób udzielania pierwszej pomocy w p</w:t>
            </w:r>
            <w:r w:rsidR="00E5575D"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rzypadkach: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zadławienia</w:t>
            </w:r>
            <w:r w:rsidR="00E5575D" w:rsidRPr="001759C3">
              <w:rPr>
                <w:rFonts w:ascii="Times New Roman" w:hAnsi="Times New Roman" w:cs="Times New Roman"/>
                <w:sz w:val="18"/>
                <w:szCs w:val="18"/>
              </w:rPr>
              <w:t>, zawału serca, udaru</w:t>
            </w:r>
          </w:p>
        </w:tc>
        <w:tc>
          <w:tcPr>
            <w:tcW w:w="1985" w:type="dxa"/>
          </w:tcPr>
          <w:p w:rsidR="00B7035A" w:rsidRPr="001759C3" w:rsidRDefault="00D65F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wykonuje na manekinie rękoczyny ratunkowe w przypadku zadławienia</w:t>
            </w:r>
          </w:p>
          <w:p w:rsidR="00E5575D" w:rsidRPr="001759C3" w:rsidRDefault="00E5575D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035A" w:rsidRPr="001759C3" w:rsidRDefault="00D65FCB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wymienia przykłady działań zapobiegających zadławieniu u małych dzieci</w:t>
            </w:r>
          </w:p>
        </w:tc>
        <w:tc>
          <w:tcPr>
            <w:tcW w:w="1559" w:type="dxa"/>
          </w:tcPr>
          <w:p w:rsidR="00B7035A" w:rsidRPr="001759C3" w:rsidRDefault="00B7035A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A8C" w:rsidRPr="003A1402" w:rsidTr="001759C3">
        <w:trPr>
          <w:trHeight w:val="81"/>
        </w:trPr>
        <w:tc>
          <w:tcPr>
            <w:tcW w:w="1276" w:type="dxa"/>
            <w:vMerge w:val="restart"/>
            <w:textDirection w:val="btLr"/>
          </w:tcPr>
          <w:p w:rsidR="00EA2D4E" w:rsidRPr="001759C3" w:rsidRDefault="00EA2D4E" w:rsidP="001759C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4A8C" w:rsidRPr="001759C3" w:rsidRDefault="00164A8C" w:rsidP="001759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Profilaktyka zdrowotna</w:t>
            </w:r>
          </w:p>
        </w:tc>
        <w:tc>
          <w:tcPr>
            <w:tcW w:w="1560" w:type="dxa"/>
            <w:vAlign w:val="center"/>
          </w:tcPr>
          <w:p w:rsidR="00164A8C" w:rsidRPr="001759C3" w:rsidRDefault="007B00BC" w:rsidP="0017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Zdrowie jako wartość. Zasady zdrowego stylu życia</w:t>
            </w:r>
          </w:p>
        </w:tc>
        <w:tc>
          <w:tcPr>
            <w:tcW w:w="1842" w:type="dxa"/>
          </w:tcPr>
          <w:p w:rsidR="00164A8C" w:rsidRPr="001759C3" w:rsidRDefault="007B00BC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8926AE" w:rsidRPr="001759C3">
              <w:rPr>
                <w:rFonts w:ascii="Times New Roman" w:hAnsi="Times New Roman" w:cs="Times New Roman"/>
                <w:sz w:val="18"/>
                <w:szCs w:val="18"/>
              </w:rPr>
              <w:t>definiuje zdrowie</w:t>
            </w:r>
          </w:p>
        </w:tc>
        <w:tc>
          <w:tcPr>
            <w:tcW w:w="1843" w:type="dxa"/>
          </w:tcPr>
          <w:p w:rsidR="008926AE" w:rsidRPr="001759C3" w:rsidRDefault="008926AE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wymienia zachowania prozdrowotne  </w:t>
            </w:r>
          </w:p>
          <w:p w:rsidR="00164A8C" w:rsidRPr="001759C3" w:rsidRDefault="008926AE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wymienia zachowania szkodliwe dla zdrowia (ryzykowne) i wskazuje te, które szczególnie często występują wśród nastolatków</w:t>
            </w:r>
          </w:p>
        </w:tc>
        <w:tc>
          <w:tcPr>
            <w:tcW w:w="1985" w:type="dxa"/>
          </w:tcPr>
          <w:p w:rsidR="00164A8C" w:rsidRPr="001759C3" w:rsidRDefault="008926AE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wymienia wyznaczniki stanu ludzkiego organizmu i opisuje sposoby ich kontrolowani</w:t>
            </w:r>
          </w:p>
        </w:tc>
        <w:tc>
          <w:tcPr>
            <w:tcW w:w="1559" w:type="dxa"/>
          </w:tcPr>
          <w:p w:rsidR="00164A8C" w:rsidRPr="001759C3" w:rsidRDefault="007B00BC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8926AE" w:rsidRPr="001759C3">
              <w:rPr>
                <w:rFonts w:ascii="Times New Roman" w:hAnsi="Times New Roman" w:cs="Times New Roman"/>
                <w:sz w:val="18"/>
                <w:szCs w:val="18"/>
              </w:rPr>
              <w:t>opisuje przewidywane skutki zachowań korzystnych i niekorzystnych dla zdrowia, zarówno te krótko-, jak i długofalowe</w:t>
            </w:r>
          </w:p>
          <w:p w:rsidR="008926AE" w:rsidRPr="001759C3" w:rsidRDefault="008926AE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wymienia czynniki mające wpływ na zdrowie i różnicuje je na takie, które są niezależne od człowieka, i takie, na które ma on całkowity wpływ</w:t>
            </w:r>
          </w:p>
        </w:tc>
        <w:tc>
          <w:tcPr>
            <w:tcW w:w="1559" w:type="dxa"/>
          </w:tcPr>
          <w:p w:rsidR="00164A8C" w:rsidRPr="001759C3" w:rsidRDefault="007B00BC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wyjaśnia zależności między zdrowiem fizycznym, psychicznym, emocjonalnym a społecznym</w:t>
            </w:r>
          </w:p>
          <w:p w:rsidR="008926AE" w:rsidRPr="001759C3" w:rsidRDefault="008926AE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proponuje indywidualny plan żywieniowy, treningowy, program aktywnego wypoczynku oraz inne, istotne działania, sprzyjające jego prawidłowemu funkcjonowaniu w środowisku </w:t>
            </w:r>
            <w:r w:rsidRPr="001759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przyrodniczym i społecznym</w:t>
            </w:r>
          </w:p>
        </w:tc>
      </w:tr>
      <w:tr w:rsidR="00164A8C" w:rsidRPr="003A1402" w:rsidTr="001759C3">
        <w:trPr>
          <w:trHeight w:val="78"/>
        </w:trPr>
        <w:tc>
          <w:tcPr>
            <w:tcW w:w="1276" w:type="dxa"/>
            <w:vMerge/>
          </w:tcPr>
          <w:p w:rsidR="00164A8C" w:rsidRPr="00C4543E" w:rsidRDefault="00164A8C" w:rsidP="00EA5AF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164A8C" w:rsidRPr="001759C3" w:rsidRDefault="007B00BC" w:rsidP="0017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Choroby cywilizacyjne</w:t>
            </w:r>
          </w:p>
        </w:tc>
        <w:tc>
          <w:tcPr>
            <w:tcW w:w="1842" w:type="dxa"/>
          </w:tcPr>
          <w:p w:rsidR="00164A8C" w:rsidRPr="001759C3" w:rsidRDefault="00B44CFC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definiuje pojęcie choroby cywilizacyjnej </w:t>
            </w:r>
          </w:p>
        </w:tc>
        <w:tc>
          <w:tcPr>
            <w:tcW w:w="1843" w:type="dxa"/>
          </w:tcPr>
          <w:p w:rsidR="00B44CFC" w:rsidRPr="001759C3" w:rsidRDefault="00B44CFC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wymienia główne choroby cywilizacyjne </w:t>
            </w:r>
          </w:p>
          <w:p w:rsidR="00164A8C" w:rsidRPr="001759C3" w:rsidRDefault="00B44CFC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wymienia główne przyczyny chorób cywilizacyjnych</w:t>
            </w:r>
          </w:p>
        </w:tc>
        <w:tc>
          <w:tcPr>
            <w:tcW w:w="1985" w:type="dxa"/>
          </w:tcPr>
          <w:p w:rsidR="00164A8C" w:rsidRPr="001759C3" w:rsidRDefault="00B44CFC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wyjaśnia wpływ stresu na zdrowie</w:t>
            </w:r>
          </w:p>
        </w:tc>
        <w:tc>
          <w:tcPr>
            <w:tcW w:w="1559" w:type="dxa"/>
          </w:tcPr>
          <w:p w:rsidR="00164A8C" w:rsidRPr="001759C3" w:rsidRDefault="00B44CFC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omawia objawy depresji, anoreksji i uzależnień behawioralnych</w:t>
            </w:r>
          </w:p>
          <w:p w:rsidR="00B44CFC" w:rsidRPr="001759C3" w:rsidRDefault="00B44CFC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proponuje sposoby zapobiegania chorobom cywilizacyjnym</w:t>
            </w:r>
          </w:p>
        </w:tc>
        <w:tc>
          <w:tcPr>
            <w:tcW w:w="1559" w:type="dxa"/>
          </w:tcPr>
          <w:p w:rsidR="00164A8C" w:rsidRPr="001759C3" w:rsidRDefault="00B44CFC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164A8C" w:rsidRPr="003A1402" w:rsidTr="001759C3">
        <w:trPr>
          <w:trHeight w:val="78"/>
        </w:trPr>
        <w:tc>
          <w:tcPr>
            <w:tcW w:w="1276" w:type="dxa"/>
            <w:vMerge/>
          </w:tcPr>
          <w:p w:rsidR="00164A8C" w:rsidRPr="00C4543E" w:rsidRDefault="00164A8C" w:rsidP="00EA5AF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164A8C" w:rsidRPr="001759C3" w:rsidRDefault="007B00BC" w:rsidP="0017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9C3">
              <w:rPr>
                <w:rFonts w:ascii="Times New Roman" w:hAnsi="Times New Roman" w:cs="Times New Roman"/>
                <w:b/>
                <w:sz w:val="20"/>
                <w:szCs w:val="20"/>
              </w:rPr>
              <w:t>Komunikacja interpersonalna w trosce o zdrowie</w:t>
            </w:r>
          </w:p>
        </w:tc>
        <w:tc>
          <w:tcPr>
            <w:tcW w:w="1842" w:type="dxa"/>
          </w:tcPr>
          <w:p w:rsidR="00164A8C" w:rsidRPr="001759C3" w:rsidRDefault="00B44CFC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wyjaśnia znaczenie terminów „komunikacja werbalna” i „komunikacja niewerbalna”</w:t>
            </w:r>
          </w:p>
        </w:tc>
        <w:tc>
          <w:tcPr>
            <w:tcW w:w="1843" w:type="dxa"/>
          </w:tcPr>
          <w:p w:rsidR="00B44CFC" w:rsidRPr="001759C3" w:rsidRDefault="00B44CFC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wymienia zasady aktywnego słuchania </w:t>
            </w:r>
          </w:p>
          <w:p w:rsidR="00B44CFC" w:rsidRPr="001759C3" w:rsidRDefault="00B44CFC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wymienia najczęstsze zakłócenia w komunikacji interpersonalnej oraz bariery komunikacyjne</w:t>
            </w:r>
          </w:p>
          <w:p w:rsidR="00164A8C" w:rsidRPr="001759C3" w:rsidRDefault="00B44CFC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 - wymienia zasady asertywność</w:t>
            </w:r>
          </w:p>
        </w:tc>
        <w:tc>
          <w:tcPr>
            <w:tcW w:w="1985" w:type="dxa"/>
          </w:tcPr>
          <w:p w:rsidR="00164A8C" w:rsidRPr="001759C3" w:rsidRDefault="00B44CFC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 omawia znaczenie prawidłowej komunikacji interpersonalne</w:t>
            </w:r>
          </w:p>
          <w:p w:rsidR="00B44CFC" w:rsidRPr="001759C3" w:rsidRDefault="00B44CFC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44CFC" w:rsidRPr="001759C3" w:rsidRDefault="00B44CFC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 xml:space="preserve">- wymienia i świadomie wykorzystuje elementy komunikacji niewerbalnej </w:t>
            </w:r>
          </w:p>
          <w:p w:rsidR="00164A8C" w:rsidRPr="001759C3" w:rsidRDefault="00B44CFC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-charakteryzuje strefy dystansu komunikacyjnego</w:t>
            </w:r>
          </w:p>
        </w:tc>
        <w:tc>
          <w:tcPr>
            <w:tcW w:w="1559" w:type="dxa"/>
          </w:tcPr>
          <w:p w:rsidR="00164A8C" w:rsidRPr="001759C3" w:rsidRDefault="00B44CFC" w:rsidP="00EA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C3">
              <w:rPr>
                <w:rFonts w:ascii="Times New Roman" w:hAnsi="Times New Roman" w:cs="Times New Roman"/>
                <w:sz w:val="18"/>
                <w:szCs w:val="18"/>
              </w:rPr>
              <w:t>- proponuje rozwiązania spornych kwestii zgodnie z zasadami negocjacji</w:t>
            </w:r>
          </w:p>
        </w:tc>
      </w:tr>
    </w:tbl>
    <w:p w:rsidR="00826030" w:rsidRDefault="00826030" w:rsidP="00EA5AF0">
      <w:pPr>
        <w:rPr>
          <w:rFonts w:ascii="Times New Roman" w:hAnsi="Times New Roman" w:cs="Times New Roman"/>
          <w:sz w:val="24"/>
          <w:szCs w:val="24"/>
        </w:rPr>
        <w:sectPr w:rsidR="00826030" w:rsidSect="00B8120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21693" w:rsidRDefault="00821693" w:rsidP="00EA5AF0">
      <w:pPr>
        <w:rPr>
          <w:rFonts w:ascii="Times New Roman" w:hAnsi="Times New Roman" w:cs="Times New Roman"/>
          <w:sz w:val="24"/>
          <w:szCs w:val="24"/>
        </w:rPr>
      </w:pPr>
    </w:p>
    <w:p w:rsidR="005F4779" w:rsidRDefault="005F4779" w:rsidP="005F4779">
      <w:pPr>
        <w:spacing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  <w:sectPr w:rsidR="005F4779" w:rsidSect="0082603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F4779" w:rsidRPr="005F4779" w:rsidRDefault="005F4779" w:rsidP="005F4779">
      <w:pPr>
        <w:spacing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5F4779">
        <w:rPr>
          <w:rFonts w:ascii="Times New Roman" w:hAnsi="Times New Roman" w:cs="Times New Roman"/>
          <w:sz w:val="18"/>
          <w:szCs w:val="18"/>
        </w:rPr>
        <w:lastRenderedPageBreak/>
        <w:t>FORMY SPRAWDZANIA OSIĄGNIĘĆ EDUKACYJNYCH UCZNIA Z MATEMATYKI</w:t>
      </w:r>
    </w:p>
    <w:p w:rsidR="005F4779" w:rsidRPr="005F4779" w:rsidRDefault="005F4779" w:rsidP="005F4779">
      <w:pPr>
        <w:spacing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5F4779">
        <w:rPr>
          <w:rFonts w:ascii="Times New Roman" w:hAnsi="Times New Roman" w:cs="Times New Roman"/>
          <w:sz w:val="18"/>
          <w:szCs w:val="18"/>
        </w:rPr>
        <w:t xml:space="preserve">1. Sprawdzian </w:t>
      </w:r>
    </w:p>
    <w:p w:rsidR="005F4779" w:rsidRPr="005F4779" w:rsidRDefault="005F4779" w:rsidP="005F4779">
      <w:pPr>
        <w:spacing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5F4779">
        <w:rPr>
          <w:rFonts w:ascii="Times New Roman" w:hAnsi="Times New Roman" w:cs="Times New Roman"/>
          <w:sz w:val="18"/>
          <w:szCs w:val="18"/>
        </w:rPr>
        <w:t xml:space="preserve">2. Kartkówka </w:t>
      </w:r>
    </w:p>
    <w:p w:rsidR="005F4779" w:rsidRPr="005F4779" w:rsidRDefault="005F4779" w:rsidP="005F4779">
      <w:pPr>
        <w:spacing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5F4779">
        <w:rPr>
          <w:rFonts w:ascii="Times New Roman" w:hAnsi="Times New Roman" w:cs="Times New Roman"/>
          <w:sz w:val="18"/>
          <w:szCs w:val="18"/>
        </w:rPr>
        <w:t xml:space="preserve">3. Odpowiedź ustna </w:t>
      </w:r>
    </w:p>
    <w:p w:rsidR="005F4779" w:rsidRPr="005F4779" w:rsidRDefault="005F4779" w:rsidP="005F4779">
      <w:pPr>
        <w:spacing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5F4779">
        <w:rPr>
          <w:rFonts w:ascii="Times New Roman" w:hAnsi="Times New Roman" w:cs="Times New Roman"/>
          <w:sz w:val="18"/>
          <w:szCs w:val="18"/>
        </w:rPr>
        <w:t>4. Praca na lekcji</w:t>
      </w:r>
    </w:p>
    <w:p w:rsidR="005F4779" w:rsidRPr="005F4779" w:rsidRDefault="005F4779" w:rsidP="005F4779">
      <w:pPr>
        <w:spacing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5F4779">
        <w:rPr>
          <w:rFonts w:ascii="Times New Roman" w:hAnsi="Times New Roman" w:cs="Times New Roman"/>
          <w:sz w:val="18"/>
          <w:szCs w:val="18"/>
        </w:rPr>
        <w:t xml:space="preserve">5. Zadania domowe </w:t>
      </w:r>
    </w:p>
    <w:p w:rsidR="005F4779" w:rsidRDefault="005F4779" w:rsidP="005F4779">
      <w:pPr>
        <w:spacing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5F4779">
        <w:rPr>
          <w:rFonts w:ascii="Times New Roman" w:hAnsi="Times New Roman" w:cs="Times New Roman"/>
          <w:sz w:val="18"/>
          <w:szCs w:val="18"/>
        </w:rPr>
        <w:t xml:space="preserve">6. Zadania dodatkowe, prace długoterminowe </w:t>
      </w:r>
    </w:p>
    <w:p w:rsidR="005F4779" w:rsidRDefault="005F4779" w:rsidP="005F4779">
      <w:pPr>
        <w:spacing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  <w:sectPr w:rsidR="005F4779" w:rsidSect="005F477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F4779" w:rsidRDefault="005F4779" w:rsidP="005F4779">
      <w:pPr>
        <w:spacing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</w:p>
    <w:p w:rsidR="009B1BB9" w:rsidRPr="009B1BB9" w:rsidRDefault="009B1BB9" w:rsidP="009B1BB9">
      <w:pPr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9B1BB9">
        <w:rPr>
          <w:rFonts w:ascii="Times New Roman" w:hAnsi="Times New Roman" w:cs="Times New Roman"/>
          <w:sz w:val="18"/>
          <w:szCs w:val="18"/>
        </w:rPr>
        <w:t>WARUNKI UZYSKANIA WYŻSZEJ NIŻ PRZEWIDYWANA OCENA ROCZNA</w:t>
      </w:r>
    </w:p>
    <w:p w:rsidR="009B1BB9" w:rsidRPr="009B1BB9" w:rsidRDefault="009B1BB9" w:rsidP="009B1BB9">
      <w:pPr>
        <w:pStyle w:val="Akapitzlist"/>
        <w:ind w:left="-426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9B1BB9">
        <w:rPr>
          <w:rFonts w:ascii="Times New Roman" w:hAnsi="Times New Roman" w:cs="Times New Roman"/>
          <w:sz w:val="18"/>
          <w:szCs w:val="18"/>
          <w:lang w:eastAsia="pl-PL"/>
        </w:rPr>
        <w:t xml:space="preserve">Pisemny wniosek o ustalenie rocznej oceny klasyfikacyjnej wyższej niż przewidywana, składa uczeń, jego rodzice lub prawni opiekunowie do Dyrektora w terminie do 2 dni roboczych od dnia powiadomienia o przewidywanej rocznej ocenie klasyfikacyjnej. Dyrektor przekazuje wniosek do rozpatrzenia nauczycielowi, który może postanowić o: </w:t>
      </w:r>
    </w:p>
    <w:p w:rsidR="009B1BB9" w:rsidRPr="009B1BB9" w:rsidRDefault="009B1BB9" w:rsidP="009B1BB9">
      <w:pPr>
        <w:pStyle w:val="Akapitzlist"/>
        <w:numPr>
          <w:ilvl w:val="0"/>
          <w:numId w:val="13"/>
        </w:numPr>
        <w:ind w:left="-426" w:firstLine="0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9B1BB9">
        <w:rPr>
          <w:rFonts w:ascii="Times New Roman" w:hAnsi="Times New Roman" w:cs="Times New Roman"/>
          <w:sz w:val="18"/>
          <w:szCs w:val="18"/>
          <w:shd w:val="clear" w:color="auto" w:fill="FFFFFF"/>
        </w:rPr>
        <w:t>uznaniu wniosku za zasadny i ustalić ocenę, o którą ubiega się uczeń,</w:t>
      </w:r>
    </w:p>
    <w:p w:rsidR="009B1BB9" w:rsidRPr="009B1BB9" w:rsidRDefault="009B1BB9" w:rsidP="009B1BB9">
      <w:pPr>
        <w:pStyle w:val="Akapitzlist"/>
        <w:numPr>
          <w:ilvl w:val="0"/>
          <w:numId w:val="13"/>
        </w:numPr>
        <w:ind w:left="-426" w:firstLine="0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9B1BB9">
        <w:rPr>
          <w:rFonts w:ascii="Times New Roman" w:hAnsi="Times New Roman" w:cs="Times New Roman"/>
          <w:sz w:val="18"/>
          <w:szCs w:val="18"/>
          <w:shd w:val="clear" w:color="auto" w:fill="FFFFFF"/>
        </w:rPr>
        <w:t>podtrzymaniu przewidywanej rocznej oceny klasyfikacyjnej i uzasadnić swoją decyzję,</w:t>
      </w:r>
      <w:bookmarkStart w:id="0" w:name="_GoBack"/>
      <w:bookmarkEnd w:id="0"/>
    </w:p>
    <w:p w:rsidR="009B1BB9" w:rsidRPr="009B1BB9" w:rsidRDefault="009B1BB9" w:rsidP="009B1BB9">
      <w:pPr>
        <w:pStyle w:val="Akapitzlist"/>
        <w:numPr>
          <w:ilvl w:val="0"/>
          <w:numId w:val="13"/>
        </w:numPr>
        <w:ind w:left="-426" w:firstLine="0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9B1BB9">
        <w:rPr>
          <w:rFonts w:ascii="Times New Roman" w:hAnsi="Times New Roman" w:cs="Times New Roman"/>
          <w:sz w:val="18"/>
          <w:szCs w:val="18"/>
          <w:shd w:val="clear" w:color="auto" w:fill="FFFFFF"/>
        </w:rPr>
        <w:t>sprawdzeniu wiedzy i umiejętności ucznia poprzez pracę pisemną lub odpowiedzi ustne,</w:t>
      </w:r>
      <w:r w:rsidRPr="009B1BB9">
        <w:rPr>
          <w:rFonts w:ascii="Times New Roman" w:hAnsi="Times New Roman" w:cs="Times New Roman"/>
          <w:sz w:val="18"/>
          <w:szCs w:val="18"/>
        </w:rPr>
        <w:t xml:space="preserve"> </w:t>
      </w:r>
      <w:r w:rsidRPr="009B1BB9">
        <w:rPr>
          <w:rFonts w:ascii="Times New Roman" w:hAnsi="Times New Roman" w:cs="Times New Roman"/>
          <w:sz w:val="18"/>
          <w:szCs w:val="18"/>
          <w:shd w:val="clear" w:color="auto" w:fill="FFFFFF"/>
        </w:rPr>
        <w:t>lub ćwiczenia praktyczne, których zakres spełnia wymagania na wnioskowaną ocenę.</w:t>
      </w:r>
    </w:p>
    <w:p w:rsidR="009B1BB9" w:rsidRDefault="009B1BB9" w:rsidP="009B1BB9"/>
    <w:p w:rsidR="005F4779" w:rsidRPr="005637DD" w:rsidRDefault="005F4779" w:rsidP="005F4779">
      <w:pPr>
        <w:ind w:hanging="567"/>
        <w:rPr>
          <w:rFonts w:cs="Times New Roman"/>
          <w:b/>
        </w:rPr>
      </w:pPr>
    </w:p>
    <w:p w:rsidR="005F4779" w:rsidRDefault="005F4779" w:rsidP="00EA5AF0">
      <w:pPr>
        <w:rPr>
          <w:rFonts w:ascii="Times New Roman" w:hAnsi="Times New Roman" w:cs="Times New Roman"/>
          <w:sz w:val="24"/>
          <w:szCs w:val="24"/>
        </w:rPr>
        <w:sectPr w:rsidR="005F4779" w:rsidSect="0082603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26030" w:rsidRPr="001759C3" w:rsidRDefault="00826030" w:rsidP="0006127F">
      <w:pPr>
        <w:rPr>
          <w:rFonts w:ascii="Times New Roman" w:hAnsi="Times New Roman" w:cs="Times New Roman"/>
        </w:rPr>
      </w:pPr>
    </w:p>
    <w:sectPr w:rsidR="00826030" w:rsidRPr="001759C3" w:rsidSect="0006127F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6B2D"/>
    <w:multiLevelType w:val="hybridMultilevel"/>
    <w:tmpl w:val="22B603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125D9"/>
    <w:multiLevelType w:val="hybridMultilevel"/>
    <w:tmpl w:val="54DA92A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836DF8"/>
    <w:multiLevelType w:val="hybridMultilevel"/>
    <w:tmpl w:val="F36C1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72118"/>
    <w:multiLevelType w:val="hybridMultilevel"/>
    <w:tmpl w:val="30D6F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53559"/>
    <w:multiLevelType w:val="hybridMultilevel"/>
    <w:tmpl w:val="FD986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92B61"/>
    <w:multiLevelType w:val="hybridMultilevel"/>
    <w:tmpl w:val="A6BE4DB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3E32C0"/>
    <w:multiLevelType w:val="hybridMultilevel"/>
    <w:tmpl w:val="FC002A4A"/>
    <w:lvl w:ilvl="0" w:tplc="C5B43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063105"/>
    <w:multiLevelType w:val="hybridMultilevel"/>
    <w:tmpl w:val="8588312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AF153B"/>
    <w:multiLevelType w:val="hybridMultilevel"/>
    <w:tmpl w:val="7A8CBE0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7D2AAE"/>
    <w:multiLevelType w:val="hybridMultilevel"/>
    <w:tmpl w:val="EB8CD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D3486"/>
    <w:multiLevelType w:val="hybridMultilevel"/>
    <w:tmpl w:val="6644C17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9166E6"/>
    <w:multiLevelType w:val="hybridMultilevel"/>
    <w:tmpl w:val="ADD07AD0"/>
    <w:lvl w:ilvl="0" w:tplc="9D9ABF6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E784B99"/>
    <w:multiLevelType w:val="hybridMultilevel"/>
    <w:tmpl w:val="9376BB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5"/>
  </w:num>
  <w:num w:numId="9">
    <w:abstractNumId w:val="10"/>
  </w:num>
  <w:num w:numId="10">
    <w:abstractNumId w:val="7"/>
  </w:num>
  <w:num w:numId="11">
    <w:abstractNumId w:val="8"/>
  </w:num>
  <w:num w:numId="12">
    <w:abstractNumId w:val="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5AF0"/>
    <w:rsid w:val="000239C5"/>
    <w:rsid w:val="0003205F"/>
    <w:rsid w:val="00043E05"/>
    <w:rsid w:val="0006127F"/>
    <w:rsid w:val="000F2484"/>
    <w:rsid w:val="00164A8C"/>
    <w:rsid w:val="001759C3"/>
    <w:rsid w:val="001B0638"/>
    <w:rsid w:val="001D4C52"/>
    <w:rsid w:val="002B474E"/>
    <w:rsid w:val="002B7B26"/>
    <w:rsid w:val="0035300D"/>
    <w:rsid w:val="00362082"/>
    <w:rsid w:val="003A1402"/>
    <w:rsid w:val="003F103C"/>
    <w:rsid w:val="00494DB3"/>
    <w:rsid w:val="004C5303"/>
    <w:rsid w:val="00526FD7"/>
    <w:rsid w:val="00567769"/>
    <w:rsid w:val="005C0377"/>
    <w:rsid w:val="005F4779"/>
    <w:rsid w:val="005F5B28"/>
    <w:rsid w:val="00606226"/>
    <w:rsid w:val="006577D2"/>
    <w:rsid w:val="006E0760"/>
    <w:rsid w:val="00703383"/>
    <w:rsid w:val="007B00BC"/>
    <w:rsid w:val="008142DC"/>
    <w:rsid w:val="00821693"/>
    <w:rsid w:val="00822759"/>
    <w:rsid w:val="00826030"/>
    <w:rsid w:val="00845729"/>
    <w:rsid w:val="008926AE"/>
    <w:rsid w:val="009B1BB9"/>
    <w:rsid w:val="00A001B7"/>
    <w:rsid w:val="00A703AB"/>
    <w:rsid w:val="00AC15B0"/>
    <w:rsid w:val="00B44CFC"/>
    <w:rsid w:val="00B7035A"/>
    <w:rsid w:val="00B81204"/>
    <w:rsid w:val="00C431AE"/>
    <w:rsid w:val="00C4543E"/>
    <w:rsid w:val="00D063D2"/>
    <w:rsid w:val="00D65FCB"/>
    <w:rsid w:val="00D760FD"/>
    <w:rsid w:val="00DB5F55"/>
    <w:rsid w:val="00DD1ECB"/>
    <w:rsid w:val="00DF06F0"/>
    <w:rsid w:val="00E5575D"/>
    <w:rsid w:val="00E822D1"/>
    <w:rsid w:val="00EA2D4E"/>
    <w:rsid w:val="00EA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C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5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C03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1583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</dc:creator>
  <cp:lastModifiedBy>Urszula</cp:lastModifiedBy>
  <cp:revision>3</cp:revision>
  <cp:lastPrinted>2019-09-03T15:33:00Z</cp:lastPrinted>
  <dcterms:created xsi:type="dcterms:W3CDTF">2019-09-18T09:37:00Z</dcterms:created>
  <dcterms:modified xsi:type="dcterms:W3CDTF">2019-09-19T07:26:00Z</dcterms:modified>
</cp:coreProperties>
</file>